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document.xml" ContentType="application/vnd.openxmlformats-officedocument.wordprocessingml.document.main+xml"/>
  <Override PartName="/word/numbering.xml" ContentType="application/vnd.openxmlformats-officedocument.wordprocessingml.numbering+xml"/>
  <Override PartName="/word/settings.xml" ContentType="application/vnd.openxmlformats-officedocument.wordprocessingml.settings+xml"/>
  <Override PartName="/docProps/custom.xml" ContentType="application/vnd.openxmlformats-officedocument.custom-properties+xml"/>
  <Override PartName="/word/styles.xml" ContentType="application/vnd.openxmlformats-officedocument.wordprocessingml.styles+xml"/>
  <Override PartName="/docProps/app.xml" ContentType="application/vnd.openxmlformats-officedocument.extended-properties+xml"/>
</Types>
</file>

<file path=_rels/.rels><?xml version="1.0" encoding="UTF-8"?>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wp="http://schemas.openxmlformats.org/drawingml/2006/wordprocessingDrawing" xmlns:r="http://schemas.openxmlformats.org/officeDocument/2006/relationships" xmlns:v="urn:schemas-microsoft-com:vml" xmlns:w10="urn:schemas-microsoft-com:office:word" xmlns:o="urn:schemas-microsoft-com:office:office" xmlns:wp14="http://schemas.microsoft.com/office/word/2010/wordprocessingDrawing" xmlns:w14="http://schemas.microsoft.com/office/word/2010/wordml" xmlns:mc="http://schemas.openxmlformats.org/markup-compatibility/2006" xmlns:m="http://schemas.openxmlformats.org/officeDocument/2006/math" xmlns:wps="http://schemas.microsoft.com/office/word/2010/wordprocessingShape" xmlns:wpg="http://schemas.microsoft.com/office/word/2010/wordprocessingGroup" xmlns:wpi="http://schemas.microsoft.com/office/word/2010/wordprocessingInk" xmlns:wpc="http://schemas.microsoft.com/office/word/2010/wordprocessingCanvas" xmlns:wpsCustomData="http://www.wps.cn/officeDocument/2013/wpsCustomData" mc:Ignorable="w14 wp14">
  <w:body>
    <w:p>
      <w:pPr>
        <w:pStyle w:val="style0"/>
        <w:rPr>
          <w:sz w:val="36"/>
          <w:szCs w:val="36"/>
        </w:rPr>
      </w:pPr>
      <w:r>
        <w:rPr>
          <w:sz w:val="36"/>
          <w:szCs w:val="36"/>
        </w:rPr>
        <w:t xml:space="preserve">                     </w:t>
      </w:r>
      <w:r>
        <w:rPr>
          <w:noProof/>
        </w:rPr>
        <w:drawing>
          <wp:inline distL="0" distT="0" distB="0" distR="0">
            <wp:extent cx="966462" cy="956310"/>
            <wp:effectExtent l="0" t="0" r="5715" b="0"/>
            <wp:docPr id="1026" name="Immagine 3"/>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0" name="Immagine 3"/>
                    <pic:cNvPicPr/>
                  </pic:nvPicPr>
                  <pic:blipFill>
                    <a:blip r:embed="rId2" cstate="print"/>
                    <a:srcRect l="0" t="0" r="0" b="0"/>
                    <a:stretch/>
                  </pic:blipFill>
                  <pic:spPr>
                    <a:xfrm rot="0">
                      <a:off x="0" y="0"/>
                      <a:ext cx="966462" cy="956310"/>
                    </a:xfrm>
                    <a:prstGeom prst="rect"/>
                  </pic:spPr>
                </pic:pic>
              </a:graphicData>
            </a:graphic>
          </wp:inline>
        </w:drawing>
      </w:r>
      <w:r>
        <w:rPr>
          <w:noProof/>
        </w:rPr>
        <w:drawing>
          <wp:inline distL="0" distT="0" distB="0" distR="0">
            <wp:extent cx="951369" cy="951369"/>
            <wp:effectExtent l="0" t="0" r="1270" b="1270"/>
            <wp:docPr id="1027" name="Immagine 1"/>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1" name="Immagine 1"/>
                    <pic:cNvPicPr/>
                  </pic:nvPicPr>
                  <pic:blipFill>
                    <a:blip r:embed="rId3" cstate="print"/>
                    <a:srcRect l="0" t="0" r="0" b="0"/>
                    <a:stretch/>
                  </pic:blipFill>
                  <pic:spPr>
                    <a:xfrm rot="0">
                      <a:off x="0" y="0"/>
                      <a:ext cx="951369" cy="951369"/>
                    </a:xfrm>
                    <a:prstGeom prst="rect"/>
                    <a:ln>
                      <a:noFill/>
                    </a:ln>
                  </pic:spPr>
                </pic:pic>
              </a:graphicData>
            </a:graphic>
          </wp:inline>
        </w:drawing>
      </w:r>
      <w:r>
        <w:rPr>
          <w:noProof/>
          <w:sz w:val="36"/>
          <w:szCs w:val="36"/>
        </w:rPr>
        <w:drawing>
          <wp:anchor distT="0" distB="0" distL="114300" distR="114300" simplePos="false" relativeHeight="2" behindDoc="false" locked="false" layoutInCell="true" allowOverlap="true">
            <wp:simplePos x="0" y="0"/>
            <wp:positionH relativeFrom="margin">
              <wp:posOffset>2192020</wp:posOffset>
            </wp:positionH>
            <wp:positionV relativeFrom="margin">
              <wp:align>top</wp:align>
            </wp:positionV>
            <wp:extent cx="956310" cy="956310"/>
            <wp:effectExtent l="0" t="0" r="0" b="0"/>
            <wp:wrapSquare wrapText="bothSides"/>
            <wp:docPr id="1028" name="Immagine 2"/>
            <wp:cNvGraphicFramePr>
              <a:graphicFrameLocks xmlns:a="http://schemas.openxmlformats.org/drawingml/2006/main" noChangeAspect="false" noSelect="false" noResize="false" noGrp="false"/>
            </wp:cNvGraphicFramePr>
            <a:graphic xmlns:a="http://schemas.openxmlformats.org/drawingml/2006/main">
              <a:graphicData uri="http://schemas.openxmlformats.org/drawingml/2006/picture">
                <pic:pic xmlns:pic="http://schemas.openxmlformats.org/drawingml/2006/picture">
                  <pic:nvPicPr>
                    <pic:cNvPr id="2" name="Immagine 2"/>
                    <pic:cNvPicPr/>
                  </pic:nvPicPr>
                  <pic:blipFill>
                    <a:blip r:embed="rId4" cstate="print"/>
                    <a:srcRect l="0" t="0" r="0" b="0"/>
                    <a:stretch/>
                  </pic:blipFill>
                  <pic:spPr>
                    <a:xfrm rot="0">
                      <a:off x="0" y="0"/>
                      <a:ext cx="956310" cy="956310"/>
                    </a:xfrm>
                    <a:prstGeom prst="rect"/>
                  </pic:spPr>
                </pic:pic>
              </a:graphicData>
            </a:graphic>
            <wp14:sizeRelH relativeFrom="margin">
              <wp14:pctWidth>0</wp14:pctWidth>
            </wp14:sizeRelH>
            <wp14:sizeRelV relativeFrom="margin">
              <wp14:pctHeight>0</wp14:pctHeight>
            </wp14:sizeRelV>
          </wp:anchor>
        </w:drawing>
      </w:r>
    </w:p>
    <w:p>
      <w:pPr>
        <w:pStyle w:val="style0"/>
        <w:rPr>
          <w:sz w:val="36"/>
          <w:szCs w:val="36"/>
        </w:rPr>
      </w:pPr>
    </w:p>
    <w:p>
      <w:pPr>
        <w:pStyle w:val="style0"/>
        <w:rPr/>
      </w:pPr>
    </w:p>
    <w:p>
      <w:pPr>
        <w:pStyle w:val="style0"/>
        <w:rPr/>
      </w:pPr>
      <w:r>
        <w:t xml:space="preserve">Reggio Emilia </w:t>
      </w:r>
      <w:r>
        <w:t>0</w:t>
      </w:r>
      <w:r>
        <w:t>6</w:t>
      </w:r>
      <w:r>
        <w:t>/02/2023</w:t>
      </w:r>
    </w:p>
    <w:p>
      <w:pPr>
        <w:pStyle w:val="style0"/>
        <w:jc w:val="right"/>
        <w:rPr/>
      </w:pPr>
      <w:r>
        <w:t>Al Sindaco di Reggio Emilia</w:t>
      </w:r>
    </w:p>
    <w:p>
      <w:pPr>
        <w:pStyle w:val="style0"/>
        <w:jc w:val="right"/>
        <w:rPr/>
      </w:pPr>
      <w:r>
        <w:t>Al Presidente del Consiglio Comunale</w:t>
      </w:r>
    </w:p>
    <w:p>
      <w:pPr>
        <w:pStyle w:val="style0"/>
        <w:rPr/>
      </w:pPr>
    </w:p>
    <w:p>
      <w:pPr>
        <w:pStyle w:val="style0"/>
        <w:rPr/>
      </w:pPr>
    </w:p>
    <w:p>
      <w:pPr>
        <w:pStyle w:val="style0"/>
        <w:rPr>
          <w:b/>
          <w:bCs/>
          <w:sz w:val="28"/>
          <w:szCs w:val="28"/>
        </w:rPr>
      </w:pPr>
      <w:r>
        <w:rPr>
          <w:b/>
          <w:bCs/>
          <w:sz w:val="28"/>
          <w:szCs w:val="28"/>
        </w:rPr>
        <w:t>Oggetto</w:t>
      </w:r>
      <w:r>
        <w:rPr>
          <w:sz w:val="28"/>
          <w:szCs w:val="28"/>
        </w:rPr>
        <w:t xml:space="preserve"> </w:t>
      </w:r>
      <w:r>
        <w:rPr>
          <w:b/>
          <w:bCs/>
          <w:sz w:val="28"/>
          <w:szCs w:val="28"/>
        </w:rPr>
        <w:t>ODG Urgente</w:t>
      </w:r>
      <w:r>
        <w:rPr>
          <w:b/>
          <w:bCs/>
          <w:sz w:val="28"/>
          <w:szCs w:val="28"/>
        </w:rPr>
        <w:t xml:space="preserve">: </w:t>
      </w:r>
      <w:r>
        <w:rPr>
          <w:b/>
          <w:bCs/>
          <w:sz w:val="28"/>
          <w:szCs w:val="28"/>
        </w:rPr>
        <w:t>Giorno del Ricordo e dell'Esodo</w:t>
      </w:r>
      <w:r>
        <w:rPr>
          <w:b/>
          <w:bCs/>
          <w:sz w:val="28"/>
          <w:szCs w:val="28"/>
        </w:rPr>
        <w:t xml:space="preserve"> 2023</w:t>
      </w:r>
    </w:p>
    <w:p>
      <w:pPr>
        <w:pStyle w:val="style0"/>
        <w:rPr>
          <w:sz w:val="26"/>
          <w:szCs w:val="26"/>
        </w:rPr>
      </w:pPr>
    </w:p>
    <w:p>
      <w:pPr>
        <w:pStyle w:val="style0"/>
        <w:jc w:val="center"/>
        <w:rPr>
          <w:sz w:val="28"/>
          <w:szCs w:val="28"/>
        </w:rPr>
      </w:pPr>
      <w:r>
        <w:rPr>
          <w:b/>
          <w:bCs/>
          <w:sz w:val="28"/>
          <w:szCs w:val="28"/>
        </w:rPr>
        <w:t>PREMESSO</w:t>
      </w:r>
    </w:p>
    <w:p>
      <w:pPr>
        <w:pStyle w:val="style0"/>
        <w:jc w:val="center"/>
        <w:rPr>
          <w:sz w:val="28"/>
          <w:szCs w:val="28"/>
        </w:rPr>
      </w:pPr>
    </w:p>
    <w:p>
      <w:pPr>
        <w:pStyle w:val="style0"/>
        <w:rPr>
          <w:sz w:val="28"/>
          <w:szCs w:val="28"/>
        </w:rPr>
      </w:pPr>
      <w:r>
        <w:rPr>
          <w:sz w:val="28"/>
          <w:szCs w:val="28"/>
        </w:rPr>
        <w:t>Che con legge n. 92 del 30/3/2004 è stato istituito il Giorno del Ricordo delle Foibe e dell'Esodo degli italiani del confine orientale in memoria dei 20.000 italiani infoibati e dei 350.000 costretti ad abbandonare le proprie terre per fuggire dalla occupazione del dittatore comunista slavo Tito</w:t>
      </w:r>
      <w:r>
        <w:rPr>
          <w:sz w:val="28"/>
          <w:szCs w:val="28"/>
        </w:rPr>
        <w:t>.</w:t>
      </w:r>
    </w:p>
    <w:p>
      <w:pPr>
        <w:pStyle w:val="style0"/>
        <w:rPr>
          <w:sz w:val="28"/>
          <w:szCs w:val="28"/>
        </w:rPr>
      </w:pPr>
      <w:r>
        <w:rPr>
          <w:sz w:val="28"/>
          <w:szCs w:val="28"/>
        </w:rPr>
        <w:t xml:space="preserve">Che dal 2005 al 2011 in Comune di Reggio Emilia, Sindaco Graziano Delrio, grazie ad una proficua collaborazione con l'opposizione di centrodestra, realizzò annualmente mostre relative alle Foibe e all'Esodo, una dedicata a Norma Cossetto. </w:t>
      </w:r>
    </w:p>
    <w:p>
      <w:pPr>
        <w:pStyle w:val="style0"/>
        <w:rPr>
          <w:sz w:val="28"/>
          <w:szCs w:val="28"/>
        </w:rPr>
      </w:pPr>
      <w:r>
        <w:rPr>
          <w:sz w:val="28"/>
          <w:szCs w:val="28"/>
        </w:rPr>
        <w:t>Che n</w:t>
      </w:r>
      <w:r>
        <w:rPr>
          <w:sz w:val="28"/>
          <w:szCs w:val="28"/>
        </w:rPr>
        <w:t>el 2010 il Sindaco Delrio, su invito del Consigliere comunale Marco Eboli, fece visita al Maestro Graziano Udovisi, sopravvissuto alle Foibe e divenuto cittadino reggiano, gravemente ammalato.</w:t>
      </w:r>
    </w:p>
    <w:p>
      <w:pPr>
        <w:pStyle w:val="style0"/>
        <w:rPr>
          <w:sz w:val="28"/>
          <w:szCs w:val="28"/>
        </w:rPr>
      </w:pPr>
      <w:r>
        <w:rPr>
          <w:sz w:val="28"/>
          <w:szCs w:val="28"/>
        </w:rPr>
        <w:t>Che nel 2011,</w:t>
      </w:r>
      <w:r>
        <w:rPr>
          <w:sz w:val="28"/>
          <w:szCs w:val="28"/>
        </w:rPr>
        <w:t xml:space="preserve"> </w:t>
      </w:r>
      <w:r>
        <w:rPr>
          <w:sz w:val="28"/>
          <w:szCs w:val="28"/>
        </w:rPr>
        <w:t>un anno dopo la morte di Graziano Udovisi in Sala del Tricolore vi fu un Memorial a lui dedicato, alla presenza dell'Assessore alla cultura Giovanni Catellani, dell'Asses</w:t>
      </w:r>
      <w:r>
        <w:rPr>
          <w:sz w:val="28"/>
          <w:szCs w:val="28"/>
        </w:rPr>
        <w:t>s</w:t>
      </w:r>
      <w:r>
        <w:rPr>
          <w:sz w:val="28"/>
          <w:szCs w:val="28"/>
        </w:rPr>
        <w:t xml:space="preserve">ore alla cultura del Comune di Quattro Castella, luogo di residenza della famiglia della figlia di Udovisi, Raffaella, del Consigliere Marco Eboli e del Consigliere comunale di Quattro Castella Stefano Setti, consigliere Pd, nipote di Graziano Udovisi e alcune classi di studenti. </w:t>
      </w:r>
    </w:p>
    <w:p>
      <w:pPr>
        <w:pStyle w:val="style0"/>
        <w:rPr>
          <w:sz w:val="28"/>
          <w:szCs w:val="28"/>
        </w:rPr>
      </w:pPr>
      <w:r>
        <w:rPr>
          <w:sz w:val="28"/>
          <w:szCs w:val="28"/>
        </w:rPr>
        <w:t>Che dal 2014 ad oggi, nel corso dei mandati del Sindaco Luca Vecchi, nessuna iniziativa istituzionale è più stata fatta dal Comune di Reggio</w:t>
      </w:r>
      <w:r>
        <w:rPr>
          <w:sz w:val="28"/>
          <w:szCs w:val="28"/>
        </w:rPr>
        <w:t xml:space="preserve"> Emilia</w:t>
      </w:r>
      <w:r>
        <w:rPr>
          <w:sz w:val="28"/>
          <w:szCs w:val="28"/>
        </w:rPr>
        <w:t>, nonostante negli anni precedenti l'attuale Sindaco fosse capogruppo in Sala del Tricolore del Pd e non</w:t>
      </w:r>
      <w:r>
        <w:rPr>
          <w:sz w:val="28"/>
          <w:szCs w:val="28"/>
        </w:rPr>
        <w:t xml:space="preserve"> </w:t>
      </w:r>
      <w:r>
        <w:rPr>
          <w:sz w:val="28"/>
          <w:szCs w:val="28"/>
        </w:rPr>
        <w:t>avesse mai obiettato nulla in merito alle celebrazioni del Giorno del Ricordo fatte dal predecessore Delrio dal 2005 al 2011.</w:t>
      </w:r>
    </w:p>
    <w:p>
      <w:pPr>
        <w:pStyle w:val="style0"/>
        <w:rPr>
          <w:sz w:val="28"/>
          <w:szCs w:val="28"/>
        </w:rPr>
      </w:pPr>
      <w:r>
        <w:rPr>
          <w:sz w:val="28"/>
          <w:szCs w:val="28"/>
        </w:rPr>
        <w:t>Che, nei giorni scorsi è pervenuto a tutti i consiglieri comunali un invito a partecipare ad una conferenza, organizzata dal Presidente del Consiglio comunale Matteo Iori, sulle Foibe e l'Esodo, iniziativa che prevede gli interventi del Presidente provinciale dell'Anpi Ermete Fiaccadori, del Sindaco Luca Vecchi e del Professore presso l'università di Zagabria Federico Tenca Montini e successivamente un dibattito aperto anche ai cittadini.</w:t>
      </w:r>
    </w:p>
    <w:p>
      <w:pPr>
        <w:pStyle w:val="style0"/>
        <w:rPr>
          <w:sz w:val="28"/>
          <w:szCs w:val="28"/>
        </w:rPr>
      </w:pPr>
      <w:r>
        <w:rPr>
          <w:sz w:val="28"/>
          <w:szCs w:val="28"/>
        </w:rPr>
        <w:t>Che da una ricerca fatta sulle pubblicazioni del Professor Tinca Montini, si è scoperto che ne ha fatte solo due, di cui una dal titolo "Fenomenologia di un martirologio mediatico nella rappresentazione degli anni novanta" pubblicato nel 2014,</w:t>
      </w:r>
      <w:r>
        <w:rPr>
          <w:sz w:val="28"/>
          <w:szCs w:val="28"/>
        </w:rPr>
        <w:t xml:space="preserve"> </w:t>
      </w:r>
      <w:r>
        <w:rPr>
          <w:sz w:val="28"/>
          <w:szCs w:val="28"/>
        </w:rPr>
        <w:t>relativo alle Foibe e all'Esodo.</w:t>
      </w:r>
    </w:p>
    <w:p>
      <w:pPr>
        <w:pStyle w:val="style0"/>
        <w:rPr>
          <w:sz w:val="28"/>
          <w:szCs w:val="28"/>
        </w:rPr>
      </w:pPr>
      <w:r>
        <w:rPr>
          <w:sz w:val="28"/>
          <w:szCs w:val="28"/>
        </w:rPr>
        <w:t>Che già il titolo denota come per l'autore la tragedia degli italiani infoibati ed esodati, fu più una "rappresentazione mediatica" che una realtà.</w:t>
      </w:r>
    </w:p>
    <w:p>
      <w:pPr>
        <w:pStyle w:val="style0"/>
        <w:rPr>
          <w:sz w:val="28"/>
          <w:szCs w:val="28"/>
        </w:rPr>
      </w:pPr>
      <w:r>
        <w:rPr>
          <w:sz w:val="28"/>
          <w:szCs w:val="28"/>
        </w:rPr>
        <w:t>Che dalla lettura del libro emergono alcuni passaggi decisamente riduzionisti ed addirittura negazionisti delle vicende relative a Graziano Udovisi e Norma Cossetto, insignita nel 2005 dal Presidente della Repubblica Carlo Azeglio Ciampi della medaglia d'oro al valor civile, come pure Udovisi fu insignito della stessa onorificenza.</w:t>
      </w:r>
    </w:p>
    <w:p>
      <w:pPr>
        <w:pStyle w:val="style0"/>
        <w:rPr>
          <w:sz w:val="28"/>
          <w:szCs w:val="28"/>
        </w:rPr>
      </w:pPr>
      <w:r>
        <w:rPr>
          <w:sz w:val="28"/>
          <w:szCs w:val="28"/>
        </w:rPr>
        <w:t>Che in merito a Graziano Udovisi il professor Federico Tenca Montini mette in dubbio la verità della sua storia, raccontata dallo stesso nel libro autobiografico, non citato però dal professore, "L'ultimo testimone "edito da Aliberti nel 2009, perché</w:t>
      </w:r>
      <w:r>
        <w:rPr>
          <w:sz w:val="28"/>
          <w:szCs w:val="28"/>
        </w:rPr>
        <w:t xml:space="preserve"> </w:t>
      </w:r>
      <w:r>
        <w:rPr>
          <w:sz w:val="28"/>
          <w:szCs w:val="28"/>
        </w:rPr>
        <w:t>"mancano testimonianze", pensando forse che i torturatori e gli infoibatori di Udovisi, i soldati jugoslavi del dittatore comunista Tito, si presentassero spontaneamente a denunciare i propri crimini. Di più, Tenca Montini, citando un altro italiano infoibato che riuscì a salvarsi, insinua che Udovisi abbia in realtà preso ispirazione da quella vicenda, e non vissuta direttamente, arrivando a scrivere che l'altro infoibato scampato dava Udovisi per morto quale "prova" della non veridicità del racconto di Udovisi.</w:t>
      </w:r>
    </w:p>
    <w:p>
      <w:pPr>
        <w:pStyle w:val="style0"/>
        <w:rPr>
          <w:sz w:val="28"/>
          <w:szCs w:val="28"/>
        </w:rPr>
      </w:pPr>
      <w:r>
        <w:rPr>
          <w:sz w:val="28"/>
          <w:szCs w:val="28"/>
        </w:rPr>
        <w:t>Che su Norma Cossetto, giovane universitaria istriana, seviziata, violentata e gettata nella foiba, Tenca Montini scrive:</w:t>
      </w:r>
      <w:r>
        <w:rPr>
          <w:sz w:val="28"/>
          <w:szCs w:val="28"/>
        </w:rPr>
        <w:t xml:space="preserve"> </w:t>
      </w:r>
      <w:r>
        <w:rPr>
          <w:sz w:val="28"/>
          <w:szCs w:val="28"/>
        </w:rPr>
        <w:t xml:space="preserve">"l'unica certezza è il reinvenimento del corpo nella foiba di Simari proprio per questo è tanto più interessante la sorprendente mole di </w:t>
      </w:r>
      <w:r>
        <w:rPr>
          <w:sz w:val="28"/>
          <w:szCs w:val="28"/>
        </w:rPr>
        <w:t xml:space="preserve">dicerie e congetture che circondano la sua scomparsa trasformandola in un incubo di torture e di stupri di gruppo e follia". </w:t>
      </w:r>
    </w:p>
    <w:p>
      <w:pPr>
        <w:pStyle w:val="style0"/>
        <w:jc w:val="center"/>
        <w:rPr>
          <w:b/>
          <w:bCs/>
          <w:sz w:val="28"/>
          <w:szCs w:val="28"/>
        </w:rPr>
      </w:pPr>
      <w:r>
        <w:rPr>
          <w:b/>
          <w:bCs/>
          <w:sz w:val="28"/>
          <w:szCs w:val="28"/>
        </w:rPr>
        <w:t xml:space="preserve">RITENUTO </w:t>
      </w:r>
    </w:p>
    <w:p>
      <w:pPr>
        <w:pStyle w:val="style0"/>
        <w:rPr>
          <w:sz w:val="28"/>
          <w:szCs w:val="28"/>
        </w:rPr>
      </w:pPr>
      <w:r>
        <w:rPr>
          <w:sz w:val="28"/>
          <w:szCs w:val="28"/>
        </w:rPr>
        <w:t>Che q</w:t>
      </w:r>
      <w:r>
        <w:rPr>
          <w:sz w:val="28"/>
          <w:szCs w:val="28"/>
        </w:rPr>
        <w:t>uanto scritto da Tenca Montini rappresenta un oltraggio alla memoria di Norma Cossetto e un</w:t>
      </w:r>
      <w:r>
        <w:rPr>
          <w:sz w:val="28"/>
          <w:szCs w:val="28"/>
        </w:rPr>
        <w:t>’</w:t>
      </w:r>
      <w:r>
        <w:rPr>
          <w:sz w:val="28"/>
          <w:szCs w:val="28"/>
        </w:rPr>
        <w:t>offesa ai familiari ancora viventi, come pure quelli di Graziano Udovisi.</w:t>
      </w:r>
    </w:p>
    <w:p>
      <w:pPr>
        <w:pStyle w:val="style0"/>
        <w:rPr>
          <w:sz w:val="28"/>
          <w:szCs w:val="28"/>
        </w:rPr>
      </w:pPr>
      <w:r>
        <w:rPr>
          <w:sz w:val="28"/>
          <w:szCs w:val="28"/>
        </w:rPr>
        <w:t>Che in base a quanto sopra ampiamente illustrato l'invito da parte del Presidente del Consiglio comunale al Professor Federico Tenca Montini rappresenta, proprio nel Giorno del Ricordo, un oltraggio agli infoibati, agli esodati e a tutti familiari ancora viventi.</w:t>
      </w:r>
    </w:p>
    <w:p>
      <w:pPr>
        <w:pStyle w:val="style0"/>
        <w:jc w:val="center"/>
        <w:rPr>
          <w:b/>
          <w:bCs/>
          <w:sz w:val="28"/>
          <w:szCs w:val="28"/>
        </w:rPr>
      </w:pPr>
      <w:r>
        <w:rPr>
          <w:b/>
          <w:bCs/>
          <w:sz w:val="28"/>
          <w:szCs w:val="28"/>
        </w:rPr>
        <w:t>IMPEGNA IL SINDACO E LA GIUNTA</w:t>
      </w:r>
    </w:p>
    <w:p>
      <w:pPr>
        <w:pStyle w:val="style0"/>
        <w:rPr>
          <w:sz w:val="28"/>
          <w:szCs w:val="28"/>
        </w:rPr>
      </w:pPr>
      <w:r>
        <w:rPr>
          <w:sz w:val="28"/>
          <w:szCs w:val="28"/>
        </w:rPr>
        <w:t>ad annullare la conferenza organizzata in Sala del Tricolore il prossimo 10 Febbraio poiché contraria allo spirito ed alla ragione dell’istituzione del Giorno del Ricordo e dell’Esodo, oltre ad un oltraggio alle vittime e familiari.</w:t>
      </w:r>
    </w:p>
    <w:p>
      <w:pPr>
        <w:pStyle w:val="style0"/>
        <w:rPr>
          <w:sz w:val="28"/>
          <w:szCs w:val="28"/>
        </w:rPr>
      </w:pPr>
    </w:p>
    <w:p>
      <w:pPr>
        <w:pStyle w:val="style0"/>
        <w:rPr>
          <w:sz w:val="28"/>
          <w:szCs w:val="28"/>
        </w:rPr>
      </w:pPr>
      <w:r>
        <w:rPr>
          <w:b/>
          <w:bCs/>
          <w:sz w:val="28"/>
          <w:szCs w:val="28"/>
        </w:rPr>
        <w:t>                                                                                                             </w:t>
      </w:r>
    </w:p>
    <w:p>
      <w:pPr>
        <w:pStyle w:val="style0"/>
        <w:rPr>
          <w:sz w:val="28"/>
          <w:szCs w:val="28"/>
        </w:rPr>
      </w:pPr>
      <w:r>
        <w:rPr>
          <w:sz w:val="28"/>
          <w:szCs w:val="28"/>
        </w:rPr>
        <w:t>Cristian Panarari</w:t>
      </w:r>
      <w:r>
        <w:rPr>
          <w:sz w:val="28"/>
          <w:szCs w:val="28"/>
        </w:rPr>
        <w:t xml:space="preserve"> Capogruppo Fratelli d’Italia</w:t>
      </w:r>
    </w:p>
    <w:p>
      <w:pPr>
        <w:pStyle w:val="style0"/>
        <w:rPr>
          <w:sz w:val="28"/>
          <w:szCs w:val="28"/>
        </w:rPr>
      </w:pPr>
      <w:r>
        <w:rPr>
          <w:sz w:val="28"/>
          <w:szCs w:val="28"/>
        </w:rPr>
        <w:t xml:space="preserve">Roberto Salati Capogruppo </w:t>
      </w:r>
      <w:bookmarkStart w:id="0" w:name="_Hlk126581284"/>
      <w:r>
        <w:rPr>
          <w:sz w:val="28"/>
          <w:szCs w:val="28"/>
        </w:rPr>
        <w:t>Lega Salvini Premier</w:t>
      </w:r>
      <w:bookmarkEnd w:id="0"/>
    </w:p>
    <w:p>
      <w:pPr>
        <w:pStyle w:val="style0"/>
        <w:rPr>
          <w:sz w:val="28"/>
          <w:szCs w:val="28"/>
        </w:rPr>
      </w:pPr>
      <w:r>
        <w:rPr>
          <w:sz w:val="28"/>
          <w:szCs w:val="28"/>
        </w:rPr>
        <w:t>Avv. Claudio Bassi Capogruppo Forza Italia</w:t>
      </w:r>
    </w:p>
    <w:p>
      <w:pPr>
        <w:pStyle w:val="style0"/>
        <w:rPr>
          <w:sz w:val="28"/>
          <w:szCs w:val="28"/>
        </w:rPr>
      </w:pPr>
      <w:r>
        <w:rPr>
          <w:sz w:val="28"/>
          <w:szCs w:val="28"/>
        </w:rPr>
        <w:t xml:space="preserve">Cons. Alessandro Rinaldi </w:t>
      </w:r>
      <w:r>
        <w:rPr>
          <w:sz w:val="28"/>
          <w:szCs w:val="28"/>
        </w:rPr>
        <w:t>Lega Salvini Premier</w:t>
      </w:r>
    </w:p>
    <w:p>
      <w:pPr>
        <w:pStyle w:val="style0"/>
        <w:rPr>
          <w:sz w:val="28"/>
          <w:szCs w:val="28"/>
        </w:rPr>
      </w:pPr>
      <w:r>
        <w:rPr>
          <w:sz w:val="28"/>
          <w:szCs w:val="28"/>
        </w:rPr>
        <w:t xml:space="preserve">Cons. Matteo Melato </w:t>
      </w:r>
      <w:r>
        <w:rPr>
          <w:sz w:val="28"/>
          <w:szCs w:val="28"/>
        </w:rPr>
        <w:t>Lega Salvini Premier</w:t>
      </w:r>
    </w:p>
    <w:p>
      <w:pPr>
        <w:pStyle w:val="style0"/>
        <w:rPr>
          <w:sz w:val="28"/>
          <w:szCs w:val="28"/>
        </w:rPr>
      </w:pPr>
      <w:r>
        <w:rPr>
          <w:sz w:val="28"/>
          <w:szCs w:val="28"/>
        </w:rPr>
        <w:t xml:space="preserve">Cons. Stefano Sacchi </w:t>
      </w:r>
      <w:r>
        <w:rPr>
          <w:sz w:val="28"/>
          <w:szCs w:val="28"/>
        </w:rPr>
        <w:t>Lega Salvini Premier</w:t>
      </w:r>
    </w:p>
    <w:p>
      <w:pPr>
        <w:pStyle w:val="style0"/>
        <w:rPr>
          <w:sz w:val="28"/>
          <w:szCs w:val="28"/>
        </w:rPr>
      </w:pPr>
      <w:r>
        <w:rPr>
          <w:sz w:val="28"/>
          <w:szCs w:val="28"/>
        </w:rPr>
        <w:t xml:space="preserve">Cons. Giorgio Varchette </w:t>
      </w:r>
      <w:r>
        <w:rPr>
          <w:sz w:val="28"/>
          <w:szCs w:val="28"/>
        </w:rPr>
        <w:t>Lega Salvini Premier</w:t>
      </w:r>
    </w:p>
    <w:p>
      <w:pPr>
        <w:pStyle w:val="style0"/>
        <w:rPr>
          <w:sz w:val="28"/>
          <w:szCs w:val="28"/>
        </w:rPr>
      </w:pPr>
    </w:p>
    <w:p>
      <w:pPr>
        <w:pStyle w:val="style0"/>
        <w:rPr>
          <w:sz w:val="28"/>
          <w:szCs w:val="28"/>
        </w:rPr>
      </w:pPr>
    </w:p>
    <w:sectPr>
      <w:pgSz w:w="11906" w:h="16838" w:orient="portrait"/>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Merriweather">
    <w:altName w:val="Merriweather"/>
    <w:panose1 w:val="00000000000000000000"/>
    <w:charset w:val="00"/>
    <w:family w:val="auto"/>
    <w:pitch w:val="variable"/>
    <w:sig w:usb0="20000207" w:usb1="00000002" w:usb2="00000000" w:usb3="00000000" w:csb0="00000197" w:csb1="00000000"/>
  </w:font>
  <w:font w:name="Times New Roman">
    <w:altName w:val="Times New Roman"/>
    <w:panose1 w:val="02020603050004020304"/>
    <w:charset w:val="00"/>
    <w:family w:val="roman"/>
    <w:pitch w:val="variable"/>
    <w:sig w:usb0="E0002EFF" w:usb1="C000785B" w:usb2="00000009" w:usb3="00000000" w:csb0="000001FF" w:csb1="00000000"/>
  </w:font>
  <w:font w:name="Courier New">
    <w:altName w:val="Courier New"/>
    <w:panose1 w:val="02070309020002020404"/>
    <w:charset w:val="00"/>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Symbol">
    <w:altName w:val="Symbol"/>
    <w:panose1 w:val="05050102010007020507"/>
    <w:charset w:val="02"/>
    <w:family w:val="roman"/>
    <w:pitch w:val="variable"/>
    <w:sig w:usb0="00000000" w:usb1="10000000" w:usb2="00000000" w:usb3="00000000" w:csb0="80000000" w:csb1="00000000"/>
  </w:font>
  <w:font w:name="Calibri">
    <w:altName w:val="Calibri"/>
    <w:panose1 w:val="020f0502020002030204"/>
    <w:charset w:val="00"/>
    <w:family w:val="swiss"/>
    <w:pitch w:val="variable"/>
    <w:sig w:usb0="E4002EFF" w:usb1="C000247B" w:usb2="00000009" w:usb3="00000000" w:csb0="000001FF" w:csb1="00000000"/>
  </w:font>
  <w:font w:name="Calibri Light">
    <w:altName w:val="Calibri Light"/>
    <w:panose1 w:val="020f0302020002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package/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0"/>
    <w:multiLevelType w:val="hybridMultilevel"/>
    <w:tmpl w:val="CEEE1772"/>
    <w:lvl w:ilvl="0" w:tplc="92C408EE">
      <w:start w:val="12"/>
      <w:numFmt w:val="bullet"/>
      <w:lvlText w:val="-"/>
      <w:lvlJc w:val="left"/>
      <w:pPr>
        <w:ind w:left="720" w:hanging="360"/>
      </w:pPr>
      <w:rPr>
        <w:rFonts w:ascii="Merriweather" w:cs="Times New Roman" w:eastAsia="Times New Roman" w:hAnsi="Merriweather" w:hint="default"/>
      </w:rPr>
    </w:lvl>
    <w:lvl w:ilvl="1" w:tplc="04100003" w:tentative="1">
      <w:start w:val="1"/>
      <w:numFmt w:val="bullet"/>
      <w:lvlText w:val="o"/>
      <w:lvlJc w:val="left"/>
      <w:pPr>
        <w:ind w:left="1440" w:hanging="360"/>
      </w:pPr>
      <w:rPr>
        <w:rFonts w:ascii="Courier New" w:cs="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cs="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cs="Courier New" w:hAnsi="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w="http://schemas.openxmlformats.org/wordprocessingml/2006/main" xmlns:r="http://schemas.openxmlformats.org/officeDocument/2006/relationships" xmlns:m="http://schemas.openxmlformats.org/officeDocument/2006/math">
  <w:zoom w:percent="180"/>
  <w:stylePaneFormatFilter w:val="5024" w:allStyles="0" w:customStyles="0" w:latentStyles="1" w:stylesInUse="0" w:headingStyles="1" w:numberingStyles="0" w:tableStyles="0" w:directFormattingOnRuns="0" w:directFormattingOnParagraphs="0" w:directFormattingOnNumbering="0" w:directFormattingOnTables="0" w:clearFormatting="1" w:top3HeadingStyles="0" w:visibleStyles="1" w:alternateStyleNames="0"/>
  <w:stylePaneSortMethod w:val="0001"/>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mc="http://schemas.openxmlformats.org/markup-compatibility/2006" xmlns:w="http://schemas.openxmlformats.org/wordprocessingml/2006/main" xmlns:w14="http://schemas.microsoft.com/office/word/2010/wordml" mc:Ignorable="w14">
  <w:docDefaults>
    <w:rPrDefault>
      <w:rPr>
        <w:rFonts w:ascii="Calibri" w:cs="宋体" w:eastAsia="Calibri" w:hAnsi="Calibri"/>
        <w:sz w:val="22"/>
        <w:szCs w:val="22"/>
        <w:lang w:val="it-IT" w:bidi="ar-SA" w:eastAsia="en-US"/>
      </w:rPr>
    </w:rPrDefault>
    <w:pPrDefault>
      <w:pPr>
        <w:spacing w:after="160" w:lineRule="auto" w:line="259"/>
      </w:pPr>
    </w:pPrDefault>
  </w:docDefaults>
  <w:style w:type="paragraph" w:default="1" w:styleId="style0">
    <w:name w:val="Normal"/>
    <w:next w:val="style0"/>
    <w:qFormat/>
    <w:pPr/>
  </w:style>
  <w:style w:type="character" w:default="1" w:styleId="style65">
    <w:name w:val="Default Paragraph Font"/>
    <w:next w:val="style65"/>
    <w:uiPriority w:val="1"/>
  </w:style>
  <w:style w:type="table" w:default="1" w:styleId="style105">
    <w:name w:val="Normal Table"/>
    <w:next w:val="style105"/>
    <w:uiPriority w:val="99"/>
    <w:pPr/>
    <w:rPr/>
    <w:tblPr>
      <w:tblInd w:w="0" w:type="dxa"/>
      <w:tblCellMar>
        <w:top w:w="0" w:type="dxa"/>
        <w:left w:w="108" w:type="dxa"/>
        <w:bottom w:w="0" w:type="dxa"/>
        <w:right w:w="108" w:type="dxa"/>
      </w:tblCellMar>
    </w:tblPr>
    <w:tcPr>
      <w:tcBorders/>
    </w:tcPr>
  </w:style>
  <w:style w:type="numbering" w:default="1" w:styleId="style107">
    <w:name w:val="No List"/>
    <w:next w:val="style107"/>
    <w:uiPriority w:val="99"/>
    <w:pPr/>
  </w:style>
  <w:style w:type="paragraph" w:customStyle="1" w:styleId="style4097">
    <w:name w:val="cdt4ke"/>
    <w:basedOn w:val="style0"/>
    <w:next w:val="style4097"/>
    <w:pPr>
      <w:spacing w:before="100" w:beforeAutospacing="true" w:after="100" w:afterAutospacing="true" w:lineRule="auto" w:line="240"/>
    </w:pPr>
    <w:rPr>
      <w:rFonts w:ascii="Times New Roman" w:cs="Times New Roman" w:eastAsia="Times New Roman" w:hAnsi="Times New Roman"/>
      <w:sz w:val="24"/>
      <w:szCs w:val="24"/>
      <w:lang w:eastAsia="it-IT"/>
    </w:rPr>
  </w:style>
  <w:style w:type="character" w:styleId="style87">
    <w:name w:val="Strong"/>
    <w:basedOn w:val="style65"/>
    <w:next w:val="style87"/>
    <w:qFormat/>
    <w:uiPriority w:val="22"/>
    <w:rPr>
      <w:b/>
      <w:bCs/>
    </w:rPr>
  </w:style>
  <w:style w:type="paragraph" w:styleId="style94">
    <w:name w:val="Normal (Web)"/>
    <w:basedOn w:val="style0"/>
    <w:next w:val="style94"/>
    <w:uiPriority w:val="99"/>
    <w:pPr>
      <w:spacing w:before="100" w:beforeAutospacing="true" w:after="100" w:afterAutospacing="true" w:lineRule="auto" w:line="240"/>
    </w:pPr>
    <w:rPr>
      <w:rFonts w:ascii="Times New Roman" w:cs="Times New Roman" w:eastAsia="Times New Roman" w:hAnsi="Times New Roman"/>
      <w:sz w:val="24"/>
      <w:szCs w:val="24"/>
      <w:lang w:eastAsia="it-IT"/>
    </w:rPr>
  </w:style>
  <w:style w:type="character" w:styleId="style85">
    <w:name w:val="Hyperlink"/>
    <w:basedOn w:val="style65"/>
    <w:next w:val="style85"/>
    <w:uiPriority w:val="99"/>
    <w:rPr>
      <w:color w:val="0000ff"/>
      <w:u w:val="single"/>
    </w:rPr>
  </w:style>
</w:styles>
</file>

<file path=word/_rels/document.xml.rels><?xml version="1.0" encoding="UTF-8"?>
<Relationships xmlns="http://schemas.openxmlformats.org/package/2006/relationships"><Relationship Id="rId1" Type="http://schemas.openxmlformats.org/officeDocument/2006/relationships/numbering" Target="numbering.xml"/><Relationship Id="rId2" Type="http://schemas.openxmlformats.org/officeDocument/2006/relationships/image" Target="media/image1.jpeg"/><Relationship Id="rId3" Type="http://schemas.openxmlformats.org/officeDocument/2006/relationships/image" Target="media/image2.png"/><Relationship Id="rId4" Type="http://schemas.openxmlformats.org/officeDocument/2006/relationships/image" Target="media/image2.jpeg"/><Relationship Id="rId5" Type="http://schemas.openxmlformats.org/officeDocument/2006/relationships/styles" Target="styles.xml"/><Relationship Id="rId6" Type="http://schemas.openxmlformats.org/officeDocument/2006/relationships/fontTable" Target="fontTable.xml"/><Relationship Id="rId7" Type="http://schemas.openxmlformats.org/officeDocument/2006/relationships/settings" Target="settings.xml"/><Relationship Id="rId8"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TotalTime>
  <Words>760</Words>
  <Pages>3</Pages>
  <Characters>4352</Characters>
  <Application>WPS Office</Application>
  <DocSecurity>0</DocSecurity>
  <Paragraphs>39</Paragraphs>
  <ScaleCrop>false</ScaleCrop>
  <LinksUpToDate>false</LinksUpToDate>
  <CharactersWithSpaces>5218</CharactersWithSpaces>
  <SharedDoc>false</SharedDoc>
  <HyperlinksChanged>false</HyperlinksChanged>
  <AppVersion>16.000</AppVersion>
</Properties>
</file>

<file path=docProps/core.xml><?xml version="1.0" encoding="utf-8"?>
<coreProperties xmlns="http://schemas.openxmlformats.org/package/2006/metadata/core-properties" xmlns:cp="http://schemas.openxmlformats.org/package/2006/metadata/core-properties" xmlns:dc="http://purl.org/dc/elements/1.1/" xmlns:dcterms="http://purl.org/dc/terms/" xmlns:xsi="http://www.w3.org/2001/XMLSchema-instance">
  <dcterms:created xsi:type="dcterms:W3CDTF">2023-02-05T13:23:00Z</dcterms:created>
  <dc:creator>Utente</dc:creator>
  <lastModifiedBy>Redmi Note 8 Pro</lastModifiedBy>
  <dcterms:modified xsi:type="dcterms:W3CDTF">2023-02-06T15:20:35Z</dcterms:modified>
  <revision>9</revision>
</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886505e1e4234ce7919f6cbba7c090de</vt:lpwstr>
  </property>
</Properties>
</file>